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nformat"/>
        <w:widowControl/>
        <w:ind w:right="0" w:hanging="0"/>
        <w:jc w:val="right"/>
        <w:rPr>
          <w:rFonts w:ascii="Times New Roman" w:hAnsi="Times New Roman" w:cs="Times New Roman"/>
          <w:spacing w:val="20"/>
          <w:sz w:val="28"/>
          <w:szCs w:val="28"/>
        </w:rPr>
      </w:pPr>
      <w:r>
        <w:rPr>
          <w:rFonts w:cs="Times New Roman" w:ascii="Times New Roman" w:hAnsi="Times New Roman"/>
          <w:spacing w:val="20"/>
          <w:sz w:val="28"/>
          <w:szCs w:val="28"/>
        </w:rPr>
        <w:t>Проект</w:t>
      </w:r>
    </w:p>
    <w:p>
      <w:pPr>
        <w:pStyle w:val="ConsNonformat"/>
        <w:widowControl/>
        <w:ind w:right="0" w:hanging="0"/>
        <w:jc w:val="center"/>
        <w:rPr>
          <w:rFonts w:ascii="Times New Roman" w:hAnsi="Times New Roman" w:cs="Times New Roman"/>
          <w:b/>
          <w:b/>
          <w:spacing w:val="20"/>
          <w:sz w:val="28"/>
          <w:szCs w:val="28"/>
        </w:rPr>
      </w:pPr>
      <w:r>
        <w:rPr>
          <w:rFonts w:cs="Times New Roman" w:ascii="Times New Roman" w:hAnsi="Times New Roman"/>
          <w:b/>
          <w:spacing w:val="20"/>
          <w:sz w:val="28"/>
          <w:szCs w:val="28"/>
        </w:rPr>
      </w:r>
    </w:p>
    <w:p>
      <w:pPr>
        <w:pStyle w:val="ConsNonformat"/>
        <w:widowControl/>
        <w:ind w:right="0" w:hanging="0"/>
        <w:jc w:val="center"/>
        <w:rPr>
          <w:rFonts w:ascii="Times New Roman" w:hAnsi="Times New Roman" w:cs="Times New Roman"/>
          <w:b/>
          <w:b/>
          <w:spacing w:val="20"/>
          <w:sz w:val="28"/>
          <w:szCs w:val="28"/>
        </w:rPr>
      </w:pPr>
      <w:r>
        <w:rPr>
          <w:rFonts w:cs="Times New Roman" w:ascii="Times New Roman" w:hAnsi="Times New Roman"/>
          <w:b/>
          <w:spacing w:val="20"/>
          <w:sz w:val="28"/>
          <w:szCs w:val="28"/>
        </w:rPr>
      </w:r>
    </w:p>
    <w:p>
      <w:pPr>
        <w:pStyle w:val="ConsNonformat"/>
        <w:widowControl/>
        <w:ind w:right="0" w:hanging="0"/>
        <w:jc w:val="center"/>
        <w:rPr>
          <w:rFonts w:ascii="Times New Roman" w:hAnsi="Times New Roman" w:cs="Times New Roman"/>
          <w:b/>
          <w:b/>
          <w:spacing w:val="20"/>
          <w:sz w:val="28"/>
          <w:szCs w:val="28"/>
        </w:rPr>
      </w:pPr>
      <w:r>
        <w:rPr>
          <w:rFonts w:cs="Times New Roman" w:ascii="Times New Roman" w:hAnsi="Times New Roman"/>
          <w:b/>
          <w:spacing w:val="20"/>
          <w:sz w:val="28"/>
          <w:szCs w:val="28"/>
        </w:rPr>
      </w:r>
    </w:p>
    <w:p>
      <w:pPr>
        <w:pStyle w:val="ConsNonformat"/>
        <w:widowControl/>
        <w:ind w:right="0" w:hanging="0"/>
        <w:jc w:val="center"/>
        <w:rPr>
          <w:rFonts w:ascii="Times New Roman" w:hAnsi="Times New Roman" w:cs="Times New Roman"/>
          <w:b/>
          <w:b/>
          <w:spacing w:val="20"/>
          <w:sz w:val="28"/>
          <w:szCs w:val="28"/>
        </w:rPr>
      </w:pPr>
      <w:r>
        <w:rPr>
          <w:rFonts w:cs="Times New Roman" w:ascii="Times New Roman" w:hAnsi="Times New Roman"/>
          <w:b/>
          <w:spacing w:val="20"/>
          <w:sz w:val="28"/>
          <w:szCs w:val="28"/>
        </w:rPr>
      </w:r>
    </w:p>
    <w:p>
      <w:pPr>
        <w:pStyle w:val="ConsNonformat"/>
        <w:widowControl/>
        <w:ind w:right="0" w:hanging="0"/>
        <w:jc w:val="center"/>
        <w:rPr>
          <w:rFonts w:ascii="Times New Roman" w:hAnsi="Times New Roman" w:cs="Times New Roman"/>
          <w:b/>
          <w:b/>
          <w:spacing w:val="20"/>
          <w:sz w:val="28"/>
          <w:szCs w:val="28"/>
        </w:rPr>
      </w:pPr>
      <w:r>
        <w:rPr>
          <w:rFonts w:cs="Times New Roman" w:ascii="Times New Roman" w:hAnsi="Times New Roman"/>
          <w:b/>
          <w:spacing w:val="20"/>
          <w:sz w:val="28"/>
          <w:szCs w:val="28"/>
        </w:rPr>
      </w:r>
    </w:p>
    <w:p>
      <w:pPr>
        <w:pStyle w:val="ConsNonformat"/>
        <w:widowControl/>
        <w:ind w:right="0" w:hanging="0"/>
        <w:jc w:val="center"/>
        <w:rPr>
          <w:rFonts w:ascii="Times New Roman" w:hAnsi="Times New Roman" w:cs="Times New Roman"/>
          <w:b/>
          <w:b/>
          <w:spacing w:val="20"/>
          <w:sz w:val="28"/>
          <w:szCs w:val="28"/>
        </w:rPr>
      </w:pPr>
      <w:r>
        <w:rPr>
          <w:rFonts w:cs="Times New Roman" w:ascii="Times New Roman" w:hAnsi="Times New Roman"/>
          <w:b/>
          <w:spacing w:val="20"/>
          <w:sz w:val="28"/>
          <w:szCs w:val="28"/>
        </w:rPr>
      </w:r>
    </w:p>
    <w:p>
      <w:pPr>
        <w:pStyle w:val="ConsNonformat"/>
        <w:widowControl/>
        <w:ind w:right="0" w:hanging="0"/>
        <w:jc w:val="center"/>
        <w:rPr>
          <w:rFonts w:ascii="Times New Roman" w:hAnsi="Times New Roman" w:cs="Times New Roman"/>
          <w:b/>
          <w:b/>
          <w:spacing w:val="20"/>
          <w:sz w:val="28"/>
          <w:szCs w:val="28"/>
        </w:rPr>
      </w:pPr>
      <w:r>
        <w:rPr>
          <w:rFonts w:cs="Times New Roman" w:ascii="Times New Roman" w:hAnsi="Times New Roman"/>
          <w:b/>
          <w:spacing w:val="20"/>
          <w:sz w:val="28"/>
          <w:szCs w:val="28"/>
        </w:rPr>
      </w:r>
    </w:p>
    <w:p>
      <w:pPr>
        <w:pStyle w:val="ConsNonformat"/>
        <w:widowControl/>
        <w:ind w:right="0" w:hanging="0"/>
        <w:jc w:val="center"/>
        <w:rPr>
          <w:rFonts w:ascii="Times New Roman" w:hAnsi="Times New Roman" w:cs="Times New Roman"/>
          <w:b/>
          <w:b/>
          <w:spacing w:val="20"/>
          <w:sz w:val="28"/>
          <w:szCs w:val="28"/>
        </w:rPr>
      </w:pPr>
      <w:r>
        <w:rPr>
          <w:rFonts w:cs="Times New Roman" w:ascii="Times New Roman" w:hAnsi="Times New Roman"/>
          <w:b/>
          <w:spacing w:val="20"/>
          <w:sz w:val="28"/>
          <w:szCs w:val="28"/>
        </w:rPr>
        <w:t>ПРАВИТЕЛЬСТВО РОССИЙСКОЙ ФЕДЕРАЦИИ</w:t>
      </w:r>
    </w:p>
    <w:p>
      <w:pPr>
        <w:pStyle w:val="ConsNonformat"/>
        <w:widowControl/>
        <w:ind w:right="0" w:hanging="0"/>
        <w:jc w:val="center"/>
        <w:rPr>
          <w:rFonts w:ascii="Times New Roman" w:hAnsi="Times New Roman" w:cs="Times New Roman"/>
          <w:b/>
          <w:b/>
          <w:spacing w:val="20"/>
          <w:sz w:val="28"/>
          <w:szCs w:val="28"/>
        </w:rPr>
      </w:pPr>
      <w:r>
        <w:rPr>
          <w:rFonts w:cs="Times New Roman" w:ascii="Times New Roman" w:hAnsi="Times New Roman"/>
          <w:b/>
          <w:spacing w:val="20"/>
          <w:sz w:val="28"/>
          <w:szCs w:val="28"/>
        </w:rPr>
      </w:r>
    </w:p>
    <w:p>
      <w:pPr>
        <w:pStyle w:val="ConsNonformat"/>
        <w:widowControl/>
        <w:spacing w:lineRule="exact" w:line="480"/>
        <w:ind w:right="0" w:hanging="0"/>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ConsNonformat"/>
        <w:widowControl/>
        <w:spacing w:lineRule="exact" w:line="480"/>
        <w:ind w:right="0" w:hanging="0"/>
        <w:jc w:val="center"/>
        <w:rPr>
          <w:rFonts w:ascii="Times New Roman" w:hAnsi="Times New Roman" w:cs="Times New Roman"/>
          <w:b/>
          <w:b/>
          <w:sz w:val="28"/>
          <w:szCs w:val="28"/>
        </w:rPr>
      </w:pPr>
      <w:r>
        <w:rPr>
          <w:rFonts w:cs="Times New Roman" w:ascii="Times New Roman" w:hAnsi="Times New Roman"/>
          <w:b/>
          <w:sz w:val="28"/>
          <w:szCs w:val="28"/>
        </w:rPr>
        <w:t>от «____»________________________ г. № _________</w:t>
      </w:r>
    </w:p>
    <w:p>
      <w:pPr>
        <w:pStyle w:val="ConsNonformat"/>
        <w:widowControl/>
        <w:spacing w:lineRule="exact" w:line="20" w:before="480" w:after="0"/>
        <w:ind w:right="0" w:hanging="0"/>
        <w:jc w:val="center"/>
        <w:rPr>
          <w:rFonts w:ascii="Times New Roman" w:hAnsi="Times New Roman" w:cs="Times New Roman"/>
          <w:b/>
          <w:b/>
          <w:sz w:val="28"/>
          <w:szCs w:val="28"/>
        </w:rPr>
      </w:pPr>
      <w:r>
        <w:rPr>
          <w:rFonts w:cs="Times New Roman" w:ascii="Times New Roman" w:hAnsi="Times New Roman"/>
          <w:b/>
          <w:sz w:val="28"/>
          <w:szCs w:val="28"/>
        </w:rPr>
        <w:t>МОСКВА</w:t>
      </w:r>
    </w:p>
    <w:p>
      <w:pPr>
        <w:pStyle w:val="Normal"/>
        <w:ind w:left="454"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О внесении изменений в постановление Правительства Российской Федерации от 18 августа 2010 г. № 636</w:t>
      </w:r>
    </w:p>
    <w:p>
      <w:pPr>
        <w:pStyle w:val="Normal"/>
        <w:spacing w:lineRule="exact" w:line="24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49"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Правительство Российской Федерации п о с т а н о в л я е т:</w:t>
      </w:r>
    </w:p>
    <w:p>
      <w:pPr>
        <w:pStyle w:val="Normal"/>
        <w:tabs>
          <w:tab w:val="clear" w:pos="708"/>
          <w:tab w:val="left" w:pos="849"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Утвердить прилагаемые изменения, которые вносятся </w:t>
        <w:br/>
        <w:t xml:space="preserve">в постановление Правительства Российской Федерации от 18 августа 2010 г. </w:t>
        <w:br/>
        <w:t xml:space="preserve">№ 636 «О требованиях к условиям энергосервисного договора (контракта) </w:t>
        <w:br/>
        <w:t xml:space="preserve">и об особенностях определения начальной (максимальной) цены энергосервисного договора (контракта) (цены лота)» (Собрание законодательства Российской Федерации, 2010, № 34, ст. 4488; 2013, № 40, </w:t>
        <w:br/>
        <w:t>ст. 5085; 2016, № 23, ст. 3332; 2016, № 51, ст. 7386).</w:t>
      </w:r>
    </w:p>
    <w:p>
      <w:pPr>
        <w:pStyle w:val="Normal"/>
        <w:tabs>
          <w:tab w:val="clear" w:pos="708"/>
          <w:tab w:val="left" w:pos="849"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Министерству экономического развития Российской Федерации утвердить в 6-месячный срок методику определения расчетно-измерительным способом объема потребления энергетического ресурса в натуральном выражении для реализации следующих мероприятий, направленных </w:t>
        <w:br/>
        <w:t>на энергосбережение и повышение энергетической эффективности:</w:t>
      </w:r>
    </w:p>
    <w:p>
      <w:pPr>
        <w:pStyle w:val="Normal"/>
        <w:tabs>
          <w:tab w:val="clear" w:pos="708"/>
          <w:tab w:val="left" w:pos="849"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мероприятия по повышению энергетической эффективности систем внутреннего и наружного освещения;</w:t>
      </w:r>
    </w:p>
    <w:p>
      <w:pPr>
        <w:pStyle w:val="Normal"/>
        <w:tabs>
          <w:tab w:val="clear" w:pos="708"/>
          <w:tab w:val="left" w:pos="849"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мероприятия по повышению энергетической эффективности использования электродвигателей, в том числе в составе технологических комплексов (насосных, компрессорных и прочих);</w:t>
      </w:r>
    </w:p>
    <w:p>
      <w:pPr>
        <w:pStyle w:val="Normal"/>
        <w:tabs>
          <w:tab w:val="clear" w:pos="708"/>
          <w:tab w:val="left" w:pos="849"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мероприятия по повышению энергетической эффективности объектов теплоснабжения, систем отопления зданий, строений и сооружений;</w:t>
      </w:r>
    </w:p>
    <w:p>
      <w:pPr>
        <w:pStyle w:val="Normal"/>
        <w:tabs>
          <w:tab w:val="clear" w:pos="708"/>
          <w:tab w:val="left" w:pos="849"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мероприятия по повышению энергетической эффективности объектов электроэнергетики;</w:t>
      </w:r>
    </w:p>
    <w:p>
      <w:pPr>
        <w:pStyle w:val="Normal"/>
        <w:tabs>
          <w:tab w:val="clear" w:pos="708"/>
          <w:tab w:val="left" w:pos="849"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мероприятия по повышению энергетической эффективности систем пищеприготовления.</w:t>
      </w:r>
    </w:p>
    <w:p>
      <w:pPr>
        <w:pStyle w:val="Normal"/>
        <w:tabs>
          <w:tab w:val="clear" w:pos="708"/>
          <w:tab w:val="left" w:pos="849" w:leader="none"/>
        </w:tabs>
        <w:spacing w:lineRule="exact" w:line="360"/>
        <w:ind w:firstLine="781"/>
        <w:jc w:val="both"/>
        <w:rPr>
          <w:rFonts w:ascii="Times New Roman" w:hAnsi="Times New Roman" w:cs="Times New Roman"/>
          <w:sz w:val="28"/>
          <w:szCs w:val="28"/>
        </w:rPr>
      </w:pPr>
      <w:r>
        <w:rPr>
          <w:rFonts w:cs="Times New Roman" w:ascii="Times New Roman" w:hAnsi="Times New Roman"/>
          <w:sz w:val="28"/>
          <w:szCs w:val="28"/>
        </w:rPr>
      </w:r>
    </w:p>
    <w:tbl>
      <w:tblPr>
        <w:tblW w:w="9139" w:type="dxa"/>
        <w:jc w:val="left"/>
        <w:tblInd w:w="0" w:type="dxa"/>
        <w:tblCellMar>
          <w:top w:w="0" w:type="dxa"/>
          <w:left w:w="108" w:type="dxa"/>
          <w:bottom w:w="0" w:type="dxa"/>
          <w:right w:w="108" w:type="dxa"/>
        </w:tblCellMar>
        <w:tblLook w:val="04a0" w:noVBand="1" w:noHBand="0" w:firstRow="1" w:lastRow="0" w:firstColumn="1" w:lastColumn="0"/>
      </w:tblPr>
      <w:tblGrid>
        <w:gridCol w:w="4041"/>
        <w:gridCol w:w="5097"/>
      </w:tblGrid>
      <w:tr>
        <w:trPr/>
        <w:tc>
          <w:tcPr>
            <w:tcW w:w="4041" w:type="dxa"/>
            <w:tcBorders/>
            <w:shd w:color="auto" w:fill="auto" w:val="clear"/>
          </w:tcPr>
          <w:p>
            <w:pPr>
              <w:pStyle w:val="Normal"/>
              <w:tabs>
                <w:tab w:val="clear" w:pos="708"/>
                <w:tab w:val="center" w:pos="1758" w:leader="none"/>
                <w:tab w:val="left" w:pos="7598" w:leader="none"/>
              </w:tabs>
              <w:spacing w:lineRule="auto" w:line="240" w:before="0" w:after="200"/>
              <w:ind w:right="-155" w:hanging="41"/>
              <w:rPr>
                <w:rFonts w:ascii="Times New Roman" w:hAnsi="Times New Roman" w:cs="Times New Roman"/>
                <w:sz w:val="28"/>
                <w:szCs w:val="28"/>
              </w:rPr>
            </w:pPr>
            <w:r>
              <w:rPr>
                <w:rFonts w:cs="Times New Roman" w:ascii="Times New Roman" w:hAnsi="Times New Roman"/>
                <w:sz w:val="28"/>
                <w:szCs w:val="28"/>
              </w:rPr>
              <w:t xml:space="preserve">Председатель Правительства                                                        </w:t>
              <w:tab/>
              <w:t>Российской Федерации</w:t>
            </w:r>
          </w:p>
        </w:tc>
        <w:tc>
          <w:tcPr>
            <w:tcW w:w="5097" w:type="dxa"/>
            <w:tcBorders/>
            <w:shd w:color="auto" w:fill="auto" w:val="clear"/>
          </w:tcPr>
          <w:p>
            <w:pPr>
              <w:pStyle w:val="Normal"/>
              <w:tabs>
                <w:tab w:val="clear" w:pos="708"/>
                <w:tab w:val="center" w:pos="1758" w:leader="none"/>
                <w:tab w:val="left" w:pos="7598" w:leader="none"/>
              </w:tabs>
              <w:spacing w:lineRule="auto" w:line="240" w:before="0" w:after="20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М.Мишустин</w:t>
            </w:r>
          </w:p>
        </w:tc>
      </w:tr>
    </w:tbl>
    <w:p>
      <w:pPr>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096"/>
        </w:sectPr>
      </w:pPr>
    </w:p>
    <w:p>
      <w:pPr>
        <w:pStyle w:val="Normal"/>
        <w:spacing w:lineRule="auto" w:line="240" w:before="0" w:after="0"/>
        <w:ind w:left="4253" w:hanging="0"/>
        <w:jc w:val="center"/>
        <w:rPr>
          <w:rFonts w:ascii="Times New Roman" w:hAnsi="Times New Roman" w:cs="Times New Roman"/>
          <w:sz w:val="28"/>
          <w:szCs w:val="28"/>
        </w:rPr>
      </w:pPr>
      <w:r>
        <w:rPr>
          <w:rFonts w:cs="Times New Roman" w:ascii="Times New Roman" w:hAnsi="Times New Roman"/>
          <w:sz w:val="28"/>
          <w:szCs w:val="28"/>
        </w:rPr>
        <w:t>УТВЕРЖДЕНЫ</w:t>
      </w:r>
    </w:p>
    <w:p>
      <w:pPr>
        <w:pStyle w:val="Normal"/>
        <w:spacing w:lineRule="auto" w:line="240" w:before="0" w:after="0"/>
        <w:ind w:left="4253" w:hanging="0"/>
        <w:jc w:val="center"/>
        <w:rPr>
          <w:rFonts w:ascii="Times New Roman" w:hAnsi="Times New Roman" w:cs="Times New Roman"/>
          <w:sz w:val="28"/>
          <w:szCs w:val="28"/>
        </w:rPr>
      </w:pPr>
      <w:r>
        <w:rPr>
          <w:rFonts w:cs="Times New Roman" w:ascii="Times New Roman" w:hAnsi="Times New Roman"/>
          <w:sz w:val="28"/>
          <w:szCs w:val="28"/>
        </w:rPr>
        <w:t>Постановление Правительства</w:t>
      </w:r>
    </w:p>
    <w:p>
      <w:pPr>
        <w:pStyle w:val="Normal"/>
        <w:spacing w:lineRule="auto" w:line="240" w:before="0" w:after="0"/>
        <w:ind w:left="4253" w:hanging="0"/>
        <w:jc w:val="center"/>
        <w:rPr>
          <w:rFonts w:ascii="Times New Roman" w:hAnsi="Times New Roman" w:cs="Times New Roman"/>
          <w:sz w:val="28"/>
          <w:szCs w:val="28"/>
        </w:rPr>
      </w:pPr>
      <w:r>
        <w:rPr>
          <w:rFonts w:cs="Times New Roman" w:ascii="Times New Roman" w:hAnsi="Times New Roman"/>
          <w:sz w:val="28"/>
          <w:szCs w:val="28"/>
        </w:rPr>
        <w:t>Российской Федерации</w:t>
      </w:r>
    </w:p>
    <w:p>
      <w:pPr>
        <w:pStyle w:val="ConsNonformat"/>
        <w:widowControl/>
        <w:ind w:left="4253" w:right="0" w:hanging="0"/>
        <w:jc w:val="center"/>
        <w:rPr>
          <w:rFonts w:ascii="Times New Roman" w:hAnsi="Times New Roman" w:cs="Times New Roman"/>
          <w:sz w:val="28"/>
          <w:szCs w:val="28"/>
        </w:rPr>
      </w:pPr>
      <w:r>
        <w:rPr>
          <w:rFonts w:cs="Times New Roman" w:ascii="Times New Roman" w:hAnsi="Times New Roman"/>
          <w:sz w:val="28"/>
          <w:szCs w:val="28"/>
        </w:rPr>
        <w:t>от «____»_____________ г. № _________</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ИЗМЕНЕНИЯ,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которые вносятся в постановление Правительства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Российской Федерации от 18 августа 2010 г. № 636</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В приложении № 1 к указанному постановлению: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 в пункте 1: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абзац первый дополнить предложением следующего содержания: </w:t>
        <w:br/>
        <w:t>«В перечень мероприятий могут быть включены мероприятия, направленные на автоматизацию процессов сбора, обработки информации об объеме потребления энергетических ресурсов, о параметрах качества энергетических ресурсов, о показателях технического состояния инженерно-технического оборудования, мероприятия, направленные на автоматизацию процессов управления инженерно-техническим оборудованием.»;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абзац второй дополнить предложением следующего содержания: </w:t>
        <w:br/>
        <w:t xml:space="preserve">«В перечень мероприятий включаются и иные мероприятия, осуществляемые на объекте, в отношении которого заключается контракт, в случае </w:t>
        <w:br/>
        <w:t>их формирования в заявке такого участника закупки.»;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абзацами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выявления исполнителем после заключения контракта </w:t>
        <w:br/>
        <w:t xml:space="preserve">и до окончания реализации всех мероприятий из перечня мероприятий, неполноты и (или) недостоверности предоставленных заказчиком сведений </w:t>
        <w:br/>
        <w:t xml:space="preserve">об объекте, влияющих на состав и технические характеристики мероприятий в перечне мероприятий, в том числе сведений о соблюдении требований </w:t>
        <w:br/>
        <w:t xml:space="preserve">по режимам энерго- и ресурсоснабжения, режимам и параметрам работы энергопотребляющих установок, режимам и параметрам эксплуатации объекта и помещений с учетом функционального назначения, а также иных требований к объекту и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или их несоответствия актуальным сведениям об объекте, исполнитель вправе: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требовать изменения перечня мероприятий в целях устранения последствий выявленных неполноты и (или) недостоверности предоставленных заказчиком сведений об объекте, в том числе в целях приведения объекта в соответствие с установленными требованиями;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расторжения контракта.»;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 дополнить пунктом 1</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vertAlign w:val="superscript"/>
        </w:rPr>
        <w:t>1</w:t>
      </w:r>
      <w:r>
        <w:rPr>
          <w:rFonts w:cs="Times New Roman" w:ascii="Times New Roman" w:hAnsi="Times New Roman"/>
          <w:sz w:val="28"/>
          <w:szCs w:val="28"/>
        </w:rPr>
        <w:t>. Наличие порядка приемки заказчиком выполненных исполнителем мероприятий, включенных в перечень мероприятий.»;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дополнить пунктом 2</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sz w:val="28"/>
          <w:szCs w:val="28"/>
          <w:vertAlign w:val="superscript"/>
        </w:rPr>
        <w:t>1</w:t>
      </w:r>
      <w:r>
        <w:rPr>
          <w:rFonts w:cs="Times New Roman" w:ascii="Times New Roman" w:hAnsi="Times New Roman"/>
          <w:sz w:val="28"/>
          <w:szCs w:val="28"/>
        </w:rPr>
        <w:t xml:space="preserve">. Указание цены контракта, определенной при заключении контракта в соответствии с частью 13 статьи 108 Федерального закона «О контрактной системе в сфере закупок товаров, работ, услуг для обеспечения государственных и муниципальных нужд» с учетом стоимости единицы энергетического ресурса, определенной в соответствии с особенностями определения начальной (максимальной) цены энергосервисного договора (контракта) (цены лота), утвержденными постановлением Правительства Российской Федерации от 18 августа 2010 г. № 636. При исполнении энергосервисного контракта цена энергосервисного контракта определяется </w:t>
        <w:br/>
        <w:t xml:space="preserve">с учетом стоимости единицы энергетического ресурса, фактически сложившейся за период исполнения энергосервисного контракта, но не менее стоимости единицы энергетического ресурса, определенной в соответствии </w:t>
        <w:br/>
        <w:t>с особенностями определения начальной (максимальной) цены энергосервисного договора (контракта) (цены лота), утвержденными постановлением Правительства Российской Федерации от 18 августа 2010 г. № 636.»;</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 в пункте 3:</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абзаце первом слова «действующей на дату» заменить словами «фактически сложившейся при последней оплате заказчиком энергетического ресурса до даты», слова «(далее – объявление о проведении отбора)» исключить;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абзаце втором слова «объявления о проведении отбора» заменить словами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 в пункте 6:</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абзац второй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на объекте энергосервисной деятельности в предшествующий период до реализации исполнителем перечня мероприятий;»;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абзац третий признать утратившим силу;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абзаце четвертом слова «,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 пункта 8 настоящих требований» заменить словами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w:t>
        <w:br/>
        <w:t>на объекте, определенным при помощи такого прибора учета используемого энергетического ресурса»;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абзаце пятом слова «Министерством энергетики Российской Федерации» заменить словами «Министерством экономического развития Российской Федерации»;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абзацами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«Определение объема потребления энергетического ресурса </w:t>
        <w:br/>
        <w:t xml:space="preserve">до реализации исполнителем перечня мероприятий может осуществляться </w:t>
        <w:br/>
        <w:t>с учетом влияющего на объем потребления энергетического ресурса соблюдения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режимам и параметрам эксплуатации объекта и помещений, и их функционального назначения, а также иных требований к объекту и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если после заключения контракта и до окончания реализации исполнителем перечня мероприятий исполнителем выявлены влияющие </w:t>
        <w:br/>
        <w:t xml:space="preserve">на объем потребления энергетического ресурса неполнота сведений </w:t>
        <w:br/>
        <w:t>об объекте, представленных заказчиком, или их несоответствие актуальным сведениям об объекте или несоблюдение требований, указанных в абзаце шестом настоящего пункта, не учтенное заказчиком при определении объема потребления энергетического ресурса до реализации исполнителем перечня мероприятий, исполнитель может до окончания реализации перечня мероприятий требовать увеличения используемого для определения размера экономии энергетического ресурса (доли размера экономии) объема потребления энергетического ресурса до реализации исполнителем перечня мероприятий путем учета такого несоблюдения и соответствующего указанному увеличению увеличения размера экономии энергетического ресурса (доли размера экономии) либо расторжения контракта. При этом увеличение используемого для определения размера экономии энергетического ресурса (доли размера экономии) объема потребления энергетического ресурса до реализации исполнителем перечня мероприятий допускается в объеме, приводящем к увеличению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не более чем на 10 процентов.»;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е) дополнить пунктом 6</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w:t>
      </w:r>
      <w:r>
        <w:rPr>
          <w:rFonts w:cs="Times New Roman" w:ascii="Times New Roman" w:hAnsi="Times New Roman"/>
          <w:sz w:val="28"/>
          <w:szCs w:val="28"/>
          <w:vertAlign w:val="superscript"/>
        </w:rPr>
        <w:t>1</w:t>
      </w:r>
      <w:r>
        <w:rPr>
          <w:rFonts w:cs="Times New Roman" w:ascii="Times New Roman" w:hAnsi="Times New Roman"/>
          <w:sz w:val="28"/>
          <w:szCs w:val="28"/>
        </w:rPr>
        <w:t xml:space="preserve">. Указание реквизитов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или иных решений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принятых в соответствии </w:t>
        <w:br/>
        <w:t xml:space="preserve">с абзацем третьим пункта 3 статьи 72 Бюджетного кодекса Российской Федерации, в соответствии с которыми предусматривается случай заключения контракта, срок действия которого превышает срок действия утвержденных лимитов бюджетных обязательств, в случае если учет несоблюдения требований, указанных в абзаце шестом пункта 6 настоящих требований, </w:t>
        <w:br/>
        <w:t xml:space="preserve">до начала реализации исполнителем перечня мероприятий, в том числе </w:t>
        <w:br/>
        <w:t xml:space="preserve">при использовании расчетно-измерительного способа определения объема потребления энергетических ресурсов до начала реализации исполнителем перечня мероприятий, приводит к увеличению используемого </w:t>
        <w:br/>
        <w:t xml:space="preserve">для определения размера экономии энергетического ресурса (доли размера экономии) объема потребления энергетического ресурса до реализации исполнителем перечня мероприятий, при котором увеличение размера экономии энергетического ресурса в натуральном выражении, который должен обеспечиваться исполнителем в результате исполнения контракта </w:t>
        <w:br/>
        <w:t xml:space="preserve">в течение срока его действия, увеличивается более чем на 10 процентов </w:t>
        <w:br/>
        <w:t>и заказчиком по контракту является государственный или муниципальный заказчик.»;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ж) в абзаце третьем пункта 7 слова «Министерством энергетики Российской Федерации» заменить словами «Министерством экономического развития Российской Федерации»;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 пункт 10 дополнить абзацем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«Достижение исполнителем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 </w:t>
        <w:br/>
        <w:t>не засчитывается в счет достижения размера экономии (доли размера экономии), который должен достигнуть исполнитель, а распределяется между сторонами контракта, если иное не установлено в контракте.»;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в абзаце четвертом пункта 12 слова «действующей на дату» заменить словами «фактически сложившейся при последней оплате заказчиком энергетического ресурса до даты»;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 дополнить пунктом 12</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«12</w:t>
      </w:r>
      <w:r>
        <w:rPr>
          <w:rFonts w:cs="Times New Roman" w:ascii="Times New Roman" w:hAnsi="Times New Roman"/>
          <w:sz w:val="28"/>
          <w:szCs w:val="28"/>
          <w:vertAlign w:val="superscript"/>
        </w:rPr>
        <w:t>1</w:t>
      </w:r>
      <w:r>
        <w:rPr>
          <w:rFonts w:cs="Times New Roman" w:ascii="Times New Roman" w:hAnsi="Times New Roman"/>
          <w:sz w:val="28"/>
          <w:szCs w:val="28"/>
        </w:rPr>
        <w:t xml:space="preserve">. Указание дополнительных источников оплаты контракта заказчиком в случае, если для его оплаты планируется использовать средства межбюджетных трансфертов либо бюджетные средства, предоставляемые заказчику, являющемуся бюджетным учреждением, в виде субсидии </w:t>
        <w:br/>
        <w:t>в соответствии с абзацем вторым пункта 1 статьи 78</w:t>
      </w:r>
      <w:r>
        <w:rPr>
          <w:rFonts w:cs="Times New Roman" w:ascii="Times New Roman" w:hAnsi="Times New Roman"/>
          <w:sz w:val="28"/>
          <w:szCs w:val="28"/>
          <w:vertAlign w:val="superscript"/>
        </w:rPr>
        <w:t>1</w:t>
      </w:r>
      <w:r>
        <w:rPr>
          <w:rFonts w:cs="Times New Roman" w:ascii="Times New Roman" w:hAnsi="Times New Roman"/>
          <w:sz w:val="28"/>
          <w:szCs w:val="28"/>
        </w:rPr>
        <w:t xml:space="preserve"> Бюджетного кодекса Российской Федерации.»;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 пункт 13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«13. Определение сроков оплаты заказчиком долей размера экономии </w:t>
        <w:br/>
        <w:t xml:space="preserve">по контракту, которые должны составлять 5 - 45 дней со дня окончания периода достижения доли размера экономии, за который осуществляются расчеты, но не более 30 дней с даты подписания акта, подтверждающего исполнение исполнителем обязательств по достижению экономии энергетических ресурсов (доли экономии энергетических ресурсов) </w:t>
        <w:br/>
        <w:t>и величине экономии энергетических ресурсов (доли экономии энергетических ресурсов) в натуральном и стоимостном выражении.</w:t>
      </w:r>
      <w:r>
        <w:rPr>
          <w:rFonts w:cs="Times New Roman" w:ascii="Times New Roman" w:hAnsi="Times New Roman"/>
          <w:sz w:val="28"/>
          <w:szCs w:val="28"/>
          <w:u w:val="single"/>
        </w:rPr>
        <w:t xml:space="preserve"> </w:t>
      </w:r>
      <w:r>
        <w:rPr>
          <w:rFonts w:cs="Times New Roman" w:ascii="Times New Roman" w:hAnsi="Times New Roman"/>
          <w:sz w:val="28"/>
          <w:szCs w:val="28"/>
        </w:rPr>
        <w:t xml:space="preserve">Окончательные расчеты по контракту должны осуществляться сторонами </w:t>
        <w:br/>
        <w:t>по факту достижения предусмотренного контрактом размера экономии.»;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 в пункте 14 абзац второй после слов «в перечень мероприятий» дополнить словами «, если иное не установлено в контракте»;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 в пункте 15 абзац второй после слов «гигиенических нормативов» дополнить словами «, если иное не установлено в контракте»;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 пункт 17 дополнить абзацем вторым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«Уплата исполнителем по окончании срока действия контракта неустойки (штрафа, пеней) за недостижение по его вине размера экономии энергетического ресурса, предусмотренного контрактом, освобождает исполнителя от обязанности достижения установленного в контракте размера экономии, если иное не установлено в контракте</w:t>
      </w:r>
      <w:bookmarkStart w:id="0" w:name="_GoBack"/>
      <w:bookmarkEnd w:id="0"/>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 дополнить пунктом 21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 Наличие условия о том, что к отношениям сторон, </w:t>
        <w:br/>
        <w:t xml:space="preserve">не урегулированным Федеральным законом «О контрактной системе в сфере закупок товаров, работ, услуг для обеспечения государственных </w:t>
        <w:br/>
        <w:t>и муниципальных нужд» и контрактом, применяются правила, предусмотренные в отношении договоров возмездного оказания услуг главой 39 Гражданского кодекса Российской Федерации.».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В приложении № 2 к указанному постановлению: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 в пункте 1 слова «и которая действует на дату объявления </w:t>
        <w:br/>
        <w:t xml:space="preserve">о проведении отбора» заменить словами «, фактически сложившейся </w:t>
        <w:br/>
        <w:t>при последней оплате заказчиком энергетического ресурса до даты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 (далее – дата объявления отбора)»;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 в пункте 2 после слова «потребляемых» дополнить словами </w:t>
        <w:br/>
        <w:t>«и оплаченных»;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дополнить пунктом 5 следующего содержания:</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В случае если контрактом предусмотрено определение объема потребления энергетического ресурса до реализации исполнителем перечня мероприятий с использованием расчетно-измерительного способа определения объема потребления энергетического ресурса, при определении начальной (максимальной) цены энергосервисного договора (контракта) (цены лота) используются данные об объеме потребления энергетического ресурса, определенном в соответствии с утвержденной Министерством экономического развития Российской Федерации методикой определения расчетно-измерительным способом объема потребления энергетического ресурса в натуральном выражении.». </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360" w:before="0" w:after="0"/>
        <w:jc w:val="center"/>
        <w:rPr/>
      </w:pPr>
      <w:r>
        <w:rPr>
          <w:rFonts w:cs="Times New Roman" w:ascii="Times New Roman" w:hAnsi="Times New Roman"/>
          <w:sz w:val="28"/>
          <w:szCs w:val="28"/>
        </w:rPr>
        <w:t>______________</w:t>
      </w:r>
    </w:p>
    <w:sectPr>
      <w:headerReference w:type="default" r:id="rId3"/>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43470172"/>
    </w:sdtPr>
    <w:sdtContent>
      <w:p>
        <w:pPr>
          <w:pStyle w:val="Style24"/>
          <w:rPr/>
        </w:pPr>
        <w:r>
          <w:rPr>
            <w:rStyle w:val="Pagenumber"/>
            <w:rFonts w:cs="Times New Roman" w:ascii="Times New Roman" w:hAnsi="Times New Roman"/>
            <w:sz w:val="28"/>
            <w:szCs w:val="28"/>
          </w:rPr>
          <w:fldChar w:fldCharType="begin"/>
        </w:r>
        <w:r>
          <w:rPr>
            <w:rStyle w:val="Pagenumber"/>
            <w:sz w:val="28"/>
            <w:szCs w:val="28"/>
            <w:rFonts w:cs="Times New Roman" w:ascii="Times New Roman" w:hAnsi="Times New Roman"/>
          </w:rPr>
          <w:instrText> PAGE </w:instrText>
        </w:r>
        <w:r>
          <w:rPr>
            <w:rStyle w:val="Pagenumber"/>
            <w:sz w:val="28"/>
            <w:szCs w:val="28"/>
            <w:rFonts w:cs="Times New Roman" w:ascii="Times New Roman" w:hAnsi="Times New Roman"/>
          </w:rPr>
          <w:fldChar w:fldCharType="separate"/>
        </w:r>
        <w:r>
          <w:rPr>
            <w:rStyle w:val="Pagenumber"/>
            <w:sz w:val="28"/>
            <w:szCs w:val="28"/>
            <w:rFonts w:cs="Times New Roman" w:ascii="Times New Roman" w:hAnsi="Times New Roman"/>
          </w:rPr>
          <w:t>2</w:t>
        </w:r>
        <w:r>
          <w:rPr>
            <w:rStyle w:val="Pagenumber"/>
            <w:sz w:val="28"/>
            <w:szCs w:val="28"/>
            <w:rFonts w:cs="Times New Roman" w:ascii="Times New Roman" w:hAnsi="Times New Roman"/>
          </w:rPr>
          <w:fldChar w:fldCharType="end"/>
        </w:r>
      </w:p>
    </w:sdtContent>
  </w:sdt>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56695848"/>
    </w:sdtPr>
    <w:sdtContent>
      <w:p>
        <w:pPr>
          <w:pStyle w:val="Style24"/>
          <w:rPr/>
        </w:pPr>
        <w:r>
          <w:rPr>
            <w:rStyle w:val="Pagenumber"/>
            <w:rFonts w:cs="Times New Roman" w:ascii="Times New Roman" w:hAnsi="Times New Roman"/>
            <w:sz w:val="28"/>
            <w:szCs w:val="28"/>
          </w:rPr>
          <w:fldChar w:fldCharType="begin"/>
        </w:r>
        <w:r>
          <w:rPr>
            <w:rStyle w:val="Pagenumber"/>
            <w:sz w:val="28"/>
            <w:szCs w:val="28"/>
            <w:rFonts w:cs="Times New Roman" w:ascii="Times New Roman" w:hAnsi="Times New Roman"/>
          </w:rPr>
          <w:instrText> PAGE </w:instrText>
        </w:r>
        <w:r>
          <w:rPr>
            <w:rStyle w:val="Pagenumber"/>
            <w:sz w:val="28"/>
            <w:szCs w:val="28"/>
            <w:rFonts w:cs="Times New Roman" w:ascii="Times New Roman" w:hAnsi="Times New Roman"/>
          </w:rPr>
          <w:fldChar w:fldCharType="separate"/>
        </w:r>
        <w:r>
          <w:rPr>
            <w:rStyle w:val="Pagenumber"/>
            <w:sz w:val="28"/>
            <w:szCs w:val="28"/>
            <w:rFonts w:cs="Times New Roman" w:ascii="Times New Roman" w:hAnsi="Times New Roman"/>
          </w:rPr>
          <w:t>10</w:t>
        </w:r>
        <w:r>
          <w:rPr>
            <w:rStyle w:val="Pagenumber"/>
            <w:sz w:val="28"/>
            <w:szCs w:val="28"/>
            <w:rFonts w:cs="Times New Roman" w:ascii="Times New Roman" w:hAnsi="Times New Roman"/>
          </w:rPr>
          <w:fldChar w:fldCharType="end"/>
        </w:r>
      </w:p>
    </w:sdtContent>
  </w:sdt>
  <w:p>
    <w:pPr>
      <w:pStyle w:val="Style24"/>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d75ebe"/>
    <w:rPr>
      <w:sz w:val="16"/>
      <w:szCs w:val="16"/>
    </w:rPr>
  </w:style>
  <w:style w:type="character" w:styleId="Style14" w:customStyle="1">
    <w:name w:val="Текст примечания Знак"/>
    <w:basedOn w:val="DefaultParagraphFont"/>
    <w:link w:val="a4"/>
    <w:uiPriority w:val="99"/>
    <w:semiHidden/>
    <w:qFormat/>
    <w:rsid w:val="00d75ebe"/>
    <w:rPr>
      <w:sz w:val="20"/>
      <w:szCs w:val="20"/>
    </w:rPr>
  </w:style>
  <w:style w:type="character" w:styleId="Style15" w:customStyle="1">
    <w:name w:val="Тема примечания Знак"/>
    <w:basedOn w:val="Style14"/>
    <w:link w:val="a6"/>
    <w:uiPriority w:val="99"/>
    <w:semiHidden/>
    <w:qFormat/>
    <w:rsid w:val="00d75ebe"/>
    <w:rPr>
      <w:b/>
      <w:bCs/>
      <w:sz w:val="20"/>
      <w:szCs w:val="20"/>
    </w:rPr>
  </w:style>
  <w:style w:type="character" w:styleId="Style16" w:customStyle="1">
    <w:name w:val="Текст выноски Знак"/>
    <w:basedOn w:val="DefaultParagraphFont"/>
    <w:link w:val="a8"/>
    <w:uiPriority w:val="99"/>
    <w:semiHidden/>
    <w:qFormat/>
    <w:rsid w:val="00d75ebe"/>
    <w:rPr>
      <w:rFonts w:ascii="Tahoma" w:hAnsi="Tahoma" w:cs="Tahoma"/>
      <w:sz w:val="16"/>
      <w:szCs w:val="16"/>
    </w:rPr>
  </w:style>
  <w:style w:type="character" w:styleId="Style17" w:customStyle="1">
    <w:name w:val="Верхний колонтитул Знак"/>
    <w:basedOn w:val="DefaultParagraphFont"/>
    <w:link w:val="ab"/>
    <w:uiPriority w:val="99"/>
    <w:qFormat/>
    <w:rsid w:val="00475877"/>
    <w:rPr/>
  </w:style>
  <w:style w:type="character" w:styleId="Pagenumber">
    <w:name w:val="page number"/>
    <w:basedOn w:val="DefaultParagraphFont"/>
    <w:uiPriority w:val="99"/>
    <w:semiHidden/>
    <w:unhideWhenUsed/>
    <w:qFormat/>
    <w:rsid w:val="00475877"/>
    <w:rPr/>
  </w:style>
  <w:style w:type="character" w:styleId="Style18" w:customStyle="1">
    <w:name w:val="Нижний колонтитул Знак"/>
    <w:basedOn w:val="DefaultParagraphFont"/>
    <w:link w:val="ae"/>
    <w:uiPriority w:val="99"/>
    <w:qFormat/>
    <w:rsid w:val="00475877"/>
    <w:rPr/>
  </w:style>
  <w:style w:type="paragraph" w:styleId="Style19">
    <w:name w:val="Заголовок"/>
    <w:basedOn w:val="Normal"/>
    <w:next w:val="Style20"/>
    <w:qFormat/>
    <w:pPr>
      <w:keepNext w:val="true"/>
      <w:spacing w:before="240" w:after="120"/>
    </w:pPr>
    <w:rPr>
      <w:rFonts w:ascii="Liberation Sans" w:hAnsi="Liberation Sans" w:eastAsia="Droid Sans Fallback" w:cs="Droid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Droid Sans Devanagari"/>
    </w:rPr>
  </w:style>
  <w:style w:type="paragraph" w:styleId="Style22">
    <w:name w:val="Caption"/>
    <w:basedOn w:val="Normal"/>
    <w:qFormat/>
    <w:pPr>
      <w:suppressLineNumbers/>
      <w:spacing w:before="120" w:after="120"/>
    </w:pPr>
    <w:rPr>
      <w:rFonts w:cs="Droid Sans Devanagari"/>
      <w:i/>
      <w:iCs/>
      <w:sz w:val="24"/>
      <w:szCs w:val="24"/>
    </w:rPr>
  </w:style>
  <w:style w:type="paragraph" w:styleId="Style23">
    <w:name w:val="Указатель"/>
    <w:basedOn w:val="Normal"/>
    <w:qFormat/>
    <w:pPr>
      <w:suppressLineNumbers/>
    </w:pPr>
    <w:rPr>
      <w:rFonts w:cs="Droid Sans Devanagari"/>
    </w:rPr>
  </w:style>
  <w:style w:type="paragraph" w:styleId="ConsNonformat" w:customStyle="1">
    <w:name w:val="ConsNonformat"/>
    <w:qFormat/>
    <w:rsid w:val="00625b9c"/>
    <w:pPr>
      <w:widowControl w:val="false"/>
      <w:bidi w:val="0"/>
      <w:spacing w:lineRule="auto" w:line="240" w:before="0" w:after="0"/>
      <w:ind w:right="19772" w:hanging="0"/>
      <w:jc w:val="left"/>
    </w:pPr>
    <w:rPr>
      <w:rFonts w:ascii="Courier New" w:hAnsi="Courier New" w:eastAsia="Times New Roman" w:cs="Courier New"/>
      <w:color w:val="auto"/>
      <w:kern w:val="0"/>
      <w:sz w:val="16"/>
      <w:szCs w:val="16"/>
      <w:lang w:eastAsia="ru-RU" w:val="ru-RU" w:bidi="ar-SA"/>
    </w:rPr>
  </w:style>
  <w:style w:type="paragraph" w:styleId="Annotationtext">
    <w:name w:val="annotation text"/>
    <w:basedOn w:val="Normal"/>
    <w:link w:val="a5"/>
    <w:uiPriority w:val="99"/>
    <w:semiHidden/>
    <w:unhideWhenUsed/>
    <w:qFormat/>
    <w:rsid w:val="00d75ebe"/>
    <w:pPr>
      <w:spacing w:lineRule="auto" w:line="240"/>
    </w:pPr>
    <w:rPr>
      <w:sz w:val="20"/>
      <w:szCs w:val="20"/>
    </w:rPr>
  </w:style>
  <w:style w:type="paragraph" w:styleId="Annotationsubject">
    <w:name w:val="annotation subject"/>
    <w:basedOn w:val="Annotationtext"/>
    <w:next w:val="Annotationtext"/>
    <w:link w:val="a7"/>
    <w:uiPriority w:val="99"/>
    <w:semiHidden/>
    <w:unhideWhenUsed/>
    <w:qFormat/>
    <w:rsid w:val="00d75ebe"/>
    <w:pPr/>
    <w:rPr>
      <w:b/>
      <w:bCs/>
    </w:rPr>
  </w:style>
  <w:style w:type="paragraph" w:styleId="BalloonText">
    <w:name w:val="Balloon Text"/>
    <w:basedOn w:val="Normal"/>
    <w:link w:val="a9"/>
    <w:uiPriority w:val="99"/>
    <w:semiHidden/>
    <w:unhideWhenUsed/>
    <w:qFormat/>
    <w:rsid w:val="00d75ebe"/>
    <w:pPr>
      <w:spacing w:lineRule="auto" w:line="240" w:before="0" w:after="0"/>
    </w:pPr>
    <w:rPr>
      <w:rFonts w:ascii="Tahoma" w:hAnsi="Tahoma" w:cs="Tahoma"/>
      <w:sz w:val="16"/>
      <w:szCs w:val="16"/>
    </w:rPr>
  </w:style>
  <w:style w:type="paragraph" w:styleId="ListParagraph">
    <w:name w:val="List Paragraph"/>
    <w:basedOn w:val="Normal"/>
    <w:uiPriority w:val="34"/>
    <w:qFormat/>
    <w:rsid w:val="00c7055e"/>
    <w:pPr>
      <w:spacing w:before="0" w:after="200"/>
      <w:ind w:left="720" w:hanging="0"/>
      <w:contextualSpacing/>
    </w:pPr>
    <w:rPr/>
  </w:style>
  <w:style w:type="paragraph" w:styleId="Style24">
    <w:name w:val="Header"/>
    <w:basedOn w:val="Normal"/>
    <w:link w:val="ac"/>
    <w:uiPriority w:val="99"/>
    <w:unhideWhenUsed/>
    <w:rsid w:val="00475877"/>
    <w:pPr>
      <w:tabs>
        <w:tab w:val="clear" w:pos="708"/>
        <w:tab w:val="center" w:pos="4677" w:leader="none"/>
        <w:tab w:val="right" w:pos="9355" w:leader="none"/>
      </w:tabs>
      <w:spacing w:lineRule="auto" w:line="240" w:before="0" w:after="0"/>
    </w:pPr>
    <w:rPr/>
  </w:style>
  <w:style w:type="paragraph" w:styleId="Style25">
    <w:name w:val="Footer"/>
    <w:basedOn w:val="Normal"/>
    <w:link w:val="af"/>
    <w:uiPriority w:val="99"/>
    <w:unhideWhenUsed/>
    <w:rsid w:val="00475877"/>
    <w:pPr>
      <w:tabs>
        <w:tab w:val="clear" w:pos="708"/>
        <w:tab w:val="center" w:pos="4677" w:leader="none"/>
        <w:tab w:val="right" w:pos="9355" w:leader="none"/>
      </w:tabs>
      <w:spacing w:lineRule="auto" w:line="240" w:before="0" w:after="0"/>
    </w:pPr>
    <w:rPr/>
  </w:style>
  <w:style w:type="paragraph" w:styleId="Revision">
    <w:name w:val="Revision"/>
    <w:uiPriority w:val="99"/>
    <w:semiHidden/>
    <w:qFormat/>
    <w:rsid w:val="000567a4"/>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9CDA029-31F6-45A9-B90B-E6C45081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LibreOffice/6.2.8.2$Linux_X86_64 LibreOffice_project/20$Build-2</Application>
  <Pages>5</Pages>
  <Words>1713</Words>
  <Characters>12966</Characters>
  <CharactersWithSpaces>14786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2021-03-11T13:05:00Z</dcterms:created>
  <dc:creator>Федулов Станислав Святославович</dc:creator>
  <dc:description/>
  <dc:language>ru-RU</dc:language>
  <cp:lastModifiedBy>Фаустов Александр Александрович</cp:lastModifiedBy>
  <cp:lastPrinted>2021-02-25T06:22:00Z</cp:lastPrinted>
  <dcterms:modified xsi:type="dcterms:W3CDTF">2021-03-12T08:42:00Z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ocId">
    <vt:lpwstr>Файл: Проект_ПП_.docx</vt:lpwstr>
  </property>
  <property fmtid="{D5CDD505-2E9C-101B-9397-08002B2CF9AE}" pid="3" name="#RegDocId">
    <vt:lpwstr>Исх. Служебное письмо № Вр-6187166</vt:lpwstr>
  </property>
  <property fmtid="{D5CDD505-2E9C-101B-9397-08002B2CF9AE}" pid="4" name="AppVersion">
    <vt:lpwstr>16.0000</vt:lpwstr>
  </property>
  <property fmtid="{D5CDD505-2E9C-101B-9397-08002B2CF9AE}" pid="5" name="DocSecurity">
    <vt:i4>0</vt:i4>
  </property>
  <property fmtid="{D5CDD505-2E9C-101B-9397-08002B2CF9AE}" pid="6" name="FileDocId">
    <vt:lpwstr>{3DB03BD8-0BA1-4B44-ACD4-53394A10DE40}</vt:lpwstr>
  </property>
  <property fmtid="{D5CDD505-2E9C-101B-9397-08002B2CF9AE}" pid="7" name="HyperlinksChanged">
    <vt:bool>0</vt:bool>
  </property>
  <property fmtid="{D5CDD505-2E9C-101B-9397-08002B2CF9AE}" pid="8" name="LinksUpToDate">
    <vt:bool>0</vt:bool>
  </property>
  <property fmtid="{D5CDD505-2E9C-101B-9397-08002B2CF9AE}" pid="9" name="RegDocId">
    <vt:lpwstr>{F1B4C4D3-EAC4-43E6-B600-8E5B35C7E22F}</vt:lpwstr>
  </property>
  <property fmtid="{D5CDD505-2E9C-101B-9397-08002B2CF9AE}" pid="10" name="ScaleCrop">
    <vt:bool>0</vt:bool>
  </property>
  <property fmtid="{D5CDD505-2E9C-101B-9397-08002B2CF9AE}" pid="11" name="ShareDoc">
    <vt:bool>0</vt:bool>
  </property>
</Properties>
</file>